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BF" w:firstRow="1" w:lastRow="0" w:firstColumn="1" w:lastColumn="0" w:noHBand="0" w:noVBand="0"/>
      </w:tblPr>
      <w:tblGrid>
        <w:gridCol w:w="4779"/>
        <w:gridCol w:w="4779"/>
      </w:tblGrid>
      <w:tr w:rsidR="008008E9" w:rsidTr="00186AE5">
        <w:trPr>
          <w:trHeight w:val="720"/>
        </w:trPr>
        <w:tc>
          <w:tcPr>
            <w:tcW w:w="9558" w:type="dxa"/>
            <w:gridSpan w:val="2"/>
          </w:tcPr>
          <w:p w:rsidR="008008E9" w:rsidRPr="00B14F60" w:rsidRDefault="004C7A65">
            <w:pPr>
              <w:jc w:val="center"/>
              <w:rPr>
                <w:rFonts w:ascii="Arial" w:hAnsi="Arial"/>
                <w:sz w:val="36"/>
                <w:u w:val="double"/>
              </w:rPr>
            </w:pPr>
            <w:r>
              <w:rPr>
                <w:rFonts w:ascii="Arial" w:hAnsi="Arial"/>
                <w:sz w:val="36"/>
                <w:u w:val="double"/>
              </w:rPr>
              <w:t>Business and Finance Sector</w:t>
            </w:r>
            <w:r w:rsidR="00B14F60">
              <w:rPr>
                <w:rFonts w:ascii="Arial" w:hAnsi="Arial"/>
                <w:sz w:val="36"/>
                <w:u w:val="double"/>
              </w:rPr>
              <w:t xml:space="preserve"> </w:t>
            </w:r>
          </w:p>
        </w:tc>
      </w:tr>
      <w:tr w:rsidR="008008E9" w:rsidTr="00186AE5">
        <w:trPr>
          <w:trHeight w:val="650"/>
        </w:trPr>
        <w:tc>
          <w:tcPr>
            <w:tcW w:w="9558" w:type="dxa"/>
            <w:gridSpan w:val="2"/>
          </w:tcPr>
          <w:p w:rsidR="008008E9" w:rsidRDefault="00ED29A3">
            <w:pPr>
              <w:tabs>
                <w:tab w:val="left" w:pos="6704"/>
              </w:tabs>
              <w:jc w:val="center"/>
              <w:rPr>
                <w:sz w:val="36"/>
                <w:u w:val="single"/>
              </w:rPr>
            </w:pPr>
            <w:r>
              <w:rPr>
                <w:rFonts w:ascii="Arial" w:hAnsi="Arial"/>
                <w:sz w:val="36"/>
                <w:u w:val="single"/>
              </w:rPr>
              <w:t>Garden</w:t>
            </w:r>
            <w:r w:rsidR="00186AE5">
              <w:rPr>
                <w:rFonts w:ascii="Arial" w:hAnsi="Arial"/>
                <w:sz w:val="36"/>
                <w:u w:val="single"/>
              </w:rPr>
              <w:t xml:space="preserve"> to Table</w:t>
            </w:r>
          </w:p>
        </w:tc>
      </w:tr>
      <w:tr w:rsidR="008008E9" w:rsidTr="00186AE5">
        <w:tc>
          <w:tcPr>
            <w:tcW w:w="9558" w:type="dxa"/>
            <w:gridSpan w:val="2"/>
          </w:tcPr>
          <w:p w:rsidR="008008E9" w:rsidRDefault="008008E9" w:rsidP="009F6559">
            <w:r>
              <w:rPr>
                <w:rFonts w:ascii="Arial" w:hAnsi="Arial"/>
              </w:rPr>
              <w:t xml:space="preserve">Subject Area:   </w:t>
            </w:r>
            <w:r w:rsidR="009F6559">
              <w:rPr>
                <w:rFonts w:ascii="Arial" w:hAnsi="Arial"/>
              </w:rPr>
              <w:t>Personal Finance</w:t>
            </w:r>
            <w:r w:rsidR="00B14F60"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t xml:space="preserve">Grade Levels:   </w:t>
            </w:r>
            <w:r w:rsidR="00B14F60">
              <w:rPr>
                <w:rFonts w:ascii="Arial" w:hAnsi="Arial"/>
              </w:rPr>
              <w:t xml:space="preserve">9-12 </w:t>
            </w:r>
            <w:r>
              <w:rPr>
                <w:rFonts w:ascii="Arial" w:hAnsi="Arial"/>
              </w:rPr>
              <w:t xml:space="preserve"> </w:t>
            </w:r>
            <w:r w:rsidR="00B14F60"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/>
              </w:rPr>
              <w:t>Date</w:t>
            </w:r>
            <w:r w:rsidR="004C7A65">
              <w:rPr>
                <w:rFonts w:ascii="Arial" w:hAnsi="Arial"/>
              </w:rPr>
              <w:t xml:space="preserve"> 10-9-13</w:t>
            </w:r>
          </w:p>
        </w:tc>
      </w:tr>
      <w:tr w:rsidR="008008E9" w:rsidTr="00186AE5">
        <w:tc>
          <w:tcPr>
            <w:tcW w:w="9558" w:type="dxa"/>
            <w:gridSpan w:val="2"/>
          </w:tcPr>
          <w:p w:rsidR="008008E9" w:rsidRDefault="008008E9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Lesson Overview</w:t>
            </w:r>
          </w:p>
        </w:tc>
      </w:tr>
      <w:tr w:rsidR="008008E9" w:rsidTr="00186AE5">
        <w:tc>
          <w:tcPr>
            <w:tcW w:w="9558" w:type="dxa"/>
            <w:gridSpan w:val="2"/>
          </w:tcPr>
          <w:p w:rsidR="008008E9" w:rsidRDefault="009F6559" w:rsidP="004C7A65">
            <w:pPr>
              <w:pStyle w:val="Default"/>
            </w:pPr>
            <w:r>
              <w:t>Students are to plan a garden and determine the impact on a personal budget if they grow their own groceries.</w:t>
            </w:r>
          </w:p>
        </w:tc>
      </w:tr>
      <w:tr w:rsidR="00B14F60" w:rsidTr="00186AE5">
        <w:trPr>
          <w:gridAfter w:val="1"/>
          <w:wAfter w:w="4779" w:type="dxa"/>
          <w:trHeight w:val="450"/>
        </w:trPr>
        <w:tc>
          <w:tcPr>
            <w:tcW w:w="4779" w:type="dxa"/>
          </w:tcPr>
          <w:p w:rsidR="00B14F60" w:rsidRDefault="00B14F60">
            <w:pPr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Materials Included in this Lesson</w:t>
            </w:r>
          </w:p>
        </w:tc>
      </w:tr>
      <w:tr w:rsidR="00B14F60" w:rsidTr="00186AE5">
        <w:trPr>
          <w:gridAfter w:val="1"/>
          <w:wAfter w:w="4779" w:type="dxa"/>
        </w:trPr>
        <w:tc>
          <w:tcPr>
            <w:tcW w:w="4779" w:type="dxa"/>
          </w:tcPr>
          <w:p w:rsidR="00B14F60" w:rsidRDefault="00B14F60" w:rsidP="00186AE5">
            <w:pPr>
              <w:numPr>
                <w:ilvl w:val="0"/>
                <w:numId w:val="4"/>
              </w:numPr>
            </w:pPr>
            <w:r>
              <w:t>Worksheets</w:t>
            </w:r>
          </w:p>
          <w:p w:rsidR="00B14F60" w:rsidRDefault="00B14F60">
            <w:pPr>
              <w:numPr>
                <w:ilvl w:val="0"/>
                <w:numId w:val="4"/>
              </w:numPr>
            </w:pPr>
            <w:r>
              <w:t>Video</w:t>
            </w:r>
            <w:r w:rsidR="001125E5">
              <w:t>/Internet</w:t>
            </w:r>
          </w:p>
          <w:p w:rsidR="00186AE5" w:rsidRDefault="00186AE5">
            <w:pPr>
              <w:numPr>
                <w:ilvl w:val="0"/>
                <w:numId w:val="4"/>
              </w:numPr>
            </w:pPr>
            <w:r>
              <w:t>Paper</w:t>
            </w:r>
          </w:p>
          <w:p w:rsidR="00186AE5" w:rsidRDefault="00186AE5">
            <w:pPr>
              <w:numPr>
                <w:ilvl w:val="0"/>
                <w:numId w:val="4"/>
              </w:numPr>
            </w:pPr>
            <w:r>
              <w:t>Markers</w:t>
            </w:r>
          </w:p>
          <w:p w:rsidR="00186AE5" w:rsidRDefault="00186AE5">
            <w:pPr>
              <w:numPr>
                <w:ilvl w:val="0"/>
                <w:numId w:val="4"/>
              </w:numPr>
            </w:pPr>
            <w:r>
              <w:t>Rulers</w:t>
            </w:r>
          </w:p>
          <w:p w:rsidR="00186AE5" w:rsidRDefault="00186AE5">
            <w:pPr>
              <w:numPr>
                <w:ilvl w:val="0"/>
                <w:numId w:val="4"/>
              </w:numPr>
            </w:pPr>
            <w:r>
              <w:t>Computer</w:t>
            </w:r>
          </w:p>
        </w:tc>
      </w:tr>
      <w:tr w:rsidR="008008E9" w:rsidTr="00186AE5">
        <w:trPr>
          <w:trHeight w:val="544"/>
        </w:trPr>
        <w:tc>
          <w:tcPr>
            <w:tcW w:w="4779" w:type="dxa"/>
          </w:tcPr>
          <w:p w:rsidR="008008E9" w:rsidRDefault="008008E9">
            <w:pPr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Skills the Student will Learn</w:t>
            </w:r>
          </w:p>
        </w:tc>
        <w:tc>
          <w:tcPr>
            <w:tcW w:w="4779" w:type="dxa"/>
          </w:tcPr>
          <w:p w:rsidR="008008E9" w:rsidRDefault="008008E9">
            <w:pPr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Student Deliverables</w:t>
            </w:r>
          </w:p>
        </w:tc>
      </w:tr>
      <w:tr w:rsidR="008008E9" w:rsidTr="00186AE5">
        <w:trPr>
          <w:trHeight w:val="544"/>
        </w:trPr>
        <w:tc>
          <w:tcPr>
            <w:tcW w:w="4779" w:type="dxa"/>
          </w:tcPr>
          <w:p w:rsidR="008008E9" w:rsidRDefault="00186AE5">
            <w:r>
              <w:t xml:space="preserve">Students will learn creative and innovative thinking skills that apply to </w:t>
            </w:r>
            <w:r w:rsidR="009F6559">
              <w:t xml:space="preserve">personal finance </w:t>
            </w:r>
            <w:r>
              <w:t>by working</w:t>
            </w:r>
            <w:r w:rsidR="009F6559">
              <w:t xml:space="preserve"> in groups and designing a sustainable garden. </w:t>
            </w:r>
          </w:p>
          <w:p w:rsidR="00186AE5" w:rsidRDefault="00186AE5">
            <w:r>
              <w:t>The students will look at start up costs of planting a garden.</w:t>
            </w:r>
          </w:p>
          <w:p w:rsidR="00186AE5" w:rsidRDefault="00186AE5">
            <w:r>
              <w:t xml:space="preserve">The students will understand the process of product development and </w:t>
            </w:r>
            <w:r w:rsidR="009F6559">
              <w:t xml:space="preserve">analyze the cost of growing your own groceries </w:t>
            </w:r>
            <w:proofErr w:type="spellStart"/>
            <w:r w:rsidR="009F6559">
              <w:t>vs</w:t>
            </w:r>
            <w:proofErr w:type="spellEnd"/>
            <w:r w:rsidR="009F6559">
              <w:t xml:space="preserve"> purchasing the food in the store.  </w:t>
            </w:r>
          </w:p>
          <w:p w:rsidR="00186AE5" w:rsidRDefault="00186AE5"/>
        </w:tc>
        <w:tc>
          <w:tcPr>
            <w:tcW w:w="4779" w:type="dxa"/>
          </w:tcPr>
          <w:p w:rsidR="009F6559" w:rsidRDefault="00E51653">
            <w:r>
              <w:t xml:space="preserve">Presentation of Garden Guide </w:t>
            </w:r>
            <w:r w:rsidR="009F6559">
              <w:t>to include:</w:t>
            </w:r>
          </w:p>
          <w:p w:rsidR="00E51653" w:rsidRDefault="00E51653">
            <w:r>
              <w:t>Garden plot/plan</w:t>
            </w:r>
          </w:p>
          <w:p w:rsidR="00E51653" w:rsidRDefault="00E51653">
            <w:r>
              <w:t>Cost to start garden</w:t>
            </w:r>
          </w:p>
          <w:p w:rsidR="001125E5" w:rsidRDefault="009F6559">
            <w:r>
              <w:t xml:space="preserve">Analysis of planting a garden vs. </w:t>
            </w:r>
            <w:r w:rsidR="001125E5">
              <w:t xml:space="preserve">purchasing the product in the </w:t>
            </w:r>
            <w:r>
              <w:t>grocery store</w:t>
            </w:r>
          </w:p>
          <w:p w:rsidR="009F6559" w:rsidRDefault="001125E5">
            <w:r>
              <w:t>T</w:t>
            </w:r>
            <w:r w:rsidR="009F6559">
              <w:t>h</w:t>
            </w:r>
            <w:r>
              <w:t>e impact on the personal budget</w:t>
            </w:r>
          </w:p>
          <w:p w:rsidR="007E57F2" w:rsidRDefault="007E57F2">
            <w:r>
              <w:t>Presentation of final Plan</w:t>
            </w:r>
          </w:p>
        </w:tc>
      </w:tr>
      <w:tr w:rsidR="008008E9" w:rsidTr="00186AE5">
        <w:trPr>
          <w:trHeight w:val="432"/>
        </w:trPr>
        <w:tc>
          <w:tcPr>
            <w:tcW w:w="9558" w:type="dxa"/>
            <w:gridSpan w:val="2"/>
          </w:tcPr>
          <w:p w:rsidR="008008E9" w:rsidRDefault="008008E9" w:rsidP="001125E5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 xml:space="preserve">Length of Lesson: </w:t>
            </w:r>
            <w:r w:rsidR="001125E5">
              <w:rPr>
                <w:rFonts w:ascii="Arial" w:hAnsi="Arial"/>
                <w:sz w:val="32"/>
                <w:u w:val="single"/>
              </w:rPr>
              <w:t>2</w:t>
            </w:r>
            <w:r>
              <w:rPr>
                <w:rFonts w:ascii="Arial" w:hAnsi="Arial"/>
                <w:sz w:val="32"/>
                <w:u w:val="single"/>
              </w:rPr>
              <w:t xml:space="preserve"> Days</w:t>
            </w:r>
          </w:p>
        </w:tc>
      </w:tr>
      <w:tr w:rsidR="008008E9" w:rsidTr="00186AE5">
        <w:trPr>
          <w:trHeight w:val="272"/>
        </w:trPr>
        <w:tc>
          <w:tcPr>
            <w:tcW w:w="9558" w:type="dxa"/>
            <w:gridSpan w:val="2"/>
          </w:tcPr>
          <w:p w:rsidR="008008E9" w:rsidRDefault="008008E9">
            <w:pPr>
              <w:rPr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>Activity Day One</w:t>
            </w:r>
          </w:p>
        </w:tc>
      </w:tr>
      <w:tr w:rsidR="008008E9" w:rsidTr="00186AE5">
        <w:trPr>
          <w:trHeight w:val="272"/>
        </w:trPr>
        <w:tc>
          <w:tcPr>
            <w:tcW w:w="9558" w:type="dxa"/>
            <w:gridSpan w:val="2"/>
          </w:tcPr>
          <w:p w:rsidR="008008E9" w:rsidRDefault="00E514D6">
            <w:r>
              <w:t>Overview of Urban Gardening</w:t>
            </w:r>
            <w:r w:rsidR="00B14F60">
              <w:t xml:space="preserve">.  </w:t>
            </w:r>
            <w:r w:rsidR="00E51653">
              <w:t xml:space="preserve">Show videos </w:t>
            </w:r>
            <w:r w:rsidR="00306F8A">
              <w:t>–</w:t>
            </w:r>
            <w:r w:rsidR="00E51653">
              <w:t xml:space="preserve"> </w:t>
            </w:r>
            <w:r w:rsidR="00306F8A">
              <w:t xml:space="preserve">1. Garden Settings, 2. Selecting Plants, Plants in this Garden.  </w:t>
            </w:r>
            <w:r w:rsidR="00B14F60">
              <w:t xml:space="preserve">Students’ will sign up on gardening site.  Students will be broken into groups </w:t>
            </w:r>
            <w:r w:rsidR="00306F8A">
              <w:t xml:space="preserve">and </w:t>
            </w:r>
            <w:r w:rsidR="00306F8A">
              <w:lastRenderedPageBreak/>
              <w:t>research the 12 steps of the Garden Guide.  Students will present their areas, other students will take notes.</w:t>
            </w:r>
          </w:p>
        </w:tc>
      </w:tr>
      <w:tr w:rsidR="008008E9" w:rsidTr="00186AE5">
        <w:trPr>
          <w:trHeight w:val="272"/>
        </w:trPr>
        <w:tc>
          <w:tcPr>
            <w:tcW w:w="9558" w:type="dxa"/>
            <w:gridSpan w:val="2"/>
          </w:tcPr>
          <w:p w:rsidR="008008E9" w:rsidRDefault="008008E9">
            <w:pPr>
              <w:rPr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lastRenderedPageBreak/>
              <w:t>Activity Day Two</w:t>
            </w:r>
          </w:p>
        </w:tc>
      </w:tr>
      <w:tr w:rsidR="008008E9" w:rsidTr="00186AE5">
        <w:trPr>
          <w:trHeight w:val="272"/>
        </w:trPr>
        <w:tc>
          <w:tcPr>
            <w:tcW w:w="9558" w:type="dxa"/>
            <w:gridSpan w:val="2"/>
          </w:tcPr>
          <w:p w:rsidR="008008E9" w:rsidRDefault="003802F5">
            <w:r>
              <w:t>Students will design their garden based on their market research of the grow season.  They will produce a garden plot and do an analysis of the money saved by growing their own groceries</w:t>
            </w:r>
            <w:proofErr w:type="gramStart"/>
            <w:r>
              <w:t xml:space="preserve">. </w:t>
            </w:r>
            <w:proofErr w:type="gramEnd"/>
            <w:r>
              <w:t xml:space="preserve">They will then prepare a presentation with their garden design with </w:t>
            </w:r>
            <w:proofErr w:type="spellStart"/>
            <w:r>
              <w:t>a</w:t>
            </w:r>
            <w:proofErr w:type="spellEnd"/>
            <w:r>
              <w:t xml:space="preserve"> explanation as to how it will impact their budget</w:t>
            </w:r>
            <w:proofErr w:type="gramStart"/>
            <w:r>
              <w:t xml:space="preserve">. </w:t>
            </w:r>
            <w:proofErr w:type="gramEnd"/>
          </w:p>
        </w:tc>
      </w:tr>
      <w:tr w:rsidR="008008E9" w:rsidTr="00186AE5">
        <w:tc>
          <w:tcPr>
            <w:tcW w:w="9558" w:type="dxa"/>
            <w:gridSpan w:val="2"/>
          </w:tcPr>
          <w:p w:rsidR="008008E9" w:rsidRDefault="008008E9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Enrichment Suggestions</w:t>
            </w:r>
          </w:p>
        </w:tc>
      </w:tr>
      <w:tr w:rsidR="008008E9" w:rsidTr="00186AE5">
        <w:tc>
          <w:tcPr>
            <w:tcW w:w="9558" w:type="dxa"/>
            <w:gridSpan w:val="2"/>
          </w:tcPr>
          <w:p w:rsidR="008008E9" w:rsidRDefault="003802F5">
            <w:r>
              <w:t>Utilize additional websites</w:t>
            </w:r>
            <w:proofErr w:type="gramStart"/>
            <w:r>
              <w:t xml:space="preserve">. </w:t>
            </w:r>
            <w:proofErr w:type="gramEnd"/>
          </w:p>
        </w:tc>
      </w:tr>
      <w:tr w:rsidR="008008E9" w:rsidTr="00186AE5">
        <w:tc>
          <w:tcPr>
            <w:tcW w:w="9558" w:type="dxa"/>
            <w:gridSpan w:val="2"/>
          </w:tcPr>
          <w:p w:rsidR="008008E9" w:rsidRDefault="008008E9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Student Resources</w:t>
            </w:r>
          </w:p>
        </w:tc>
      </w:tr>
      <w:tr w:rsidR="008008E9" w:rsidTr="00186AE5">
        <w:tc>
          <w:tcPr>
            <w:tcW w:w="9558" w:type="dxa"/>
            <w:gridSpan w:val="2"/>
          </w:tcPr>
          <w:p w:rsidR="008008E9" w:rsidRDefault="00F32B4E" w:rsidP="003802F5">
            <w:r>
              <w:t xml:space="preserve">Students will use the internet – </w:t>
            </w:r>
            <w:hyperlink r:id="rId8" w:history="1">
              <w:r w:rsidRPr="00C772BE">
                <w:rPr>
                  <w:rStyle w:val="Hyperlink"/>
                </w:rPr>
                <w:t>www.smartgardener.com</w:t>
              </w:r>
            </w:hyperlink>
            <w:r>
              <w:t xml:space="preserve"> </w:t>
            </w:r>
            <w:r w:rsidR="003802F5">
              <w:t xml:space="preserve">and other related sites </w:t>
            </w:r>
            <w:r>
              <w:t xml:space="preserve">to plan </w:t>
            </w:r>
            <w:r w:rsidR="003802F5">
              <w:t xml:space="preserve">their </w:t>
            </w:r>
            <w:r>
              <w:t xml:space="preserve">garden.  </w:t>
            </w:r>
            <w:r w:rsidR="003802F5">
              <w:t xml:space="preserve">Students will use the internet to look up the cost of </w:t>
            </w:r>
            <w:r w:rsidR="001125E5">
              <w:t>vegetables</w:t>
            </w:r>
            <w:r w:rsidR="003802F5">
              <w:t xml:space="preserve"> and fruits purchased in a grocery store.</w:t>
            </w:r>
          </w:p>
        </w:tc>
      </w:tr>
      <w:tr w:rsidR="008008E9" w:rsidRPr="00BA4033" w:rsidTr="00186AE5">
        <w:tc>
          <w:tcPr>
            <w:tcW w:w="9558" w:type="dxa"/>
            <w:gridSpan w:val="2"/>
          </w:tcPr>
          <w:p w:rsidR="008008E9" w:rsidRPr="00BA4033" w:rsidRDefault="008008E9" w:rsidP="008008E9">
            <w:pPr>
              <w:jc w:val="center"/>
              <w:rPr>
                <w:rFonts w:ascii="Arial Narrow" w:hAnsi="Arial Narrow"/>
                <w:b/>
              </w:rPr>
            </w:pPr>
            <w:r w:rsidRPr="00BA4033">
              <w:rPr>
                <w:rFonts w:ascii="Arial Narrow" w:hAnsi="Arial Narrow"/>
                <w:b/>
              </w:rPr>
              <w:t>Foundation Academic Standards</w:t>
            </w:r>
          </w:p>
        </w:tc>
      </w:tr>
      <w:tr w:rsidR="00B73172" w:rsidTr="00186AE5">
        <w:tc>
          <w:tcPr>
            <w:tcW w:w="9558" w:type="dxa"/>
            <w:gridSpan w:val="2"/>
            <w:vAlign w:val="center"/>
          </w:tcPr>
          <w:p w:rsidR="009D7875" w:rsidRDefault="00B73172" w:rsidP="00D0672C">
            <w:pPr>
              <w:rPr>
                <w:rFonts w:ascii="Arial Narrow" w:hAnsi="Arial Narrow" w:cs="Arial Narrow"/>
              </w:rPr>
            </w:pPr>
            <w:r w:rsidRPr="00C16BDA">
              <w:rPr>
                <w:rFonts w:ascii="Arial Narrow" w:hAnsi="Arial Narrow" w:cs="Arial Narrow"/>
                <w:b/>
                <w:bCs/>
              </w:rPr>
              <w:t xml:space="preserve">Reading Standards for Information Text </w:t>
            </w:r>
            <w:r>
              <w:rPr>
                <w:rFonts w:ascii="Arial Narrow" w:hAnsi="Arial Narrow" w:cs="Arial Narrow"/>
                <w:b/>
                <w:bCs/>
              </w:rPr>
              <w:t>–</w:t>
            </w:r>
            <w:r w:rsidRPr="00C16BDA">
              <w:rPr>
                <w:rFonts w:ascii="Arial Narrow" w:hAnsi="Arial Narrow" w:cs="Arial Narrow"/>
                <w:b/>
                <w:bCs/>
              </w:rPr>
              <w:t xml:space="preserve"> RSIT </w:t>
            </w:r>
          </w:p>
          <w:p w:rsidR="00BA4033" w:rsidRDefault="009D7875" w:rsidP="00D0672C">
            <w:pPr>
              <w:rPr>
                <w:rFonts w:ascii="Arial Narrow" w:hAnsi="Arial Narrow" w:cs="Arial Narrow"/>
              </w:rPr>
            </w:pPr>
            <w:proofErr w:type="gramStart"/>
            <w:r w:rsidRPr="00BA4033">
              <w:rPr>
                <w:rFonts w:ascii="Arial Narrow" w:hAnsi="Arial Narrow" w:cs="Arial Narrow"/>
              </w:rPr>
              <w:t>RS</w:t>
            </w:r>
            <w:r w:rsidR="00271FC0" w:rsidRPr="00BA4033">
              <w:rPr>
                <w:rFonts w:ascii="Arial Narrow" w:hAnsi="Arial Narrow" w:cs="Arial Narrow"/>
              </w:rPr>
              <w:t>11-12.7</w:t>
            </w:r>
            <w:r w:rsidR="00271FC0" w:rsidRPr="00C16BDA">
              <w:rPr>
                <w:rFonts w:ascii="Arial Narrow" w:hAnsi="Arial Narrow" w:cs="Arial Narrow"/>
              </w:rPr>
              <w:t>.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  <w:proofErr w:type="gramEnd"/>
          </w:p>
          <w:p w:rsidR="00271FC0" w:rsidRDefault="00271FC0" w:rsidP="00D0672C">
            <w:pPr>
              <w:rPr>
                <w:rFonts w:ascii="Arial Narrow" w:hAnsi="Arial Narrow" w:cs="Arial Narrow"/>
              </w:rPr>
            </w:pPr>
          </w:p>
          <w:p w:rsidR="00271FC0" w:rsidRPr="00BA4033" w:rsidRDefault="00271FC0" w:rsidP="00D0672C">
            <w:pPr>
              <w:rPr>
                <w:rFonts w:ascii="Arial Narrow" w:hAnsi="Arial Narrow" w:cs="Arial Narrow"/>
                <w:b/>
              </w:rPr>
            </w:pPr>
          </w:p>
          <w:p w:rsidR="00BA4033" w:rsidRPr="00BA4033" w:rsidRDefault="00BA4033" w:rsidP="00BA4033">
            <w:pPr>
              <w:pStyle w:val="Default"/>
              <w:rPr>
                <w:rFonts w:ascii="Arial Narrow" w:hAnsi="Arial Narrow" w:cs="Arial"/>
                <w:b/>
              </w:rPr>
            </w:pPr>
            <w:r w:rsidRPr="00BA4033">
              <w:rPr>
                <w:rFonts w:ascii="Arial Narrow" w:hAnsi="Arial Narrow" w:cs="Arial"/>
                <w:b/>
              </w:rPr>
              <w:t>Writing Standards - WS</w:t>
            </w:r>
          </w:p>
          <w:p w:rsidR="009D7875" w:rsidRDefault="009D7875" w:rsidP="00D0672C">
            <w:pPr>
              <w:rPr>
                <w:rFonts w:ascii="Arial Narrow" w:hAnsi="Arial Narrow" w:cs="Arial Narrow"/>
              </w:rPr>
            </w:pPr>
            <w:r w:rsidRPr="00BA4033">
              <w:rPr>
                <w:rFonts w:ascii="Arial Narrow" w:hAnsi="Arial Narrow" w:cs="Arial Narrow"/>
                <w:b/>
              </w:rPr>
              <w:t>WS11-12.1.</w:t>
            </w:r>
            <w:r w:rsidRPr="00C16BDA">
              <w:rPr>
                <w:rFonts w:ascii="Arial Narrow" w:hAnsi="Arial Narrow" w:cs="Arial Narrow"/>
              </w:rPr>
              <w:t xml:space="preserve"> Write arguments to support claims in an analysis of substantive topics or texts, using valid reasoning and relevant and sufficient evidence.</w:t>
            </w:r>
          </w:p>
          <w:p w:rsidR="00BA4033" w:rsidRPr="00BA4033" w:rsidRDefault="00BA4033" w:rsidP="00D0672C">
            <w:pPr>
              <w:rPr>
                <w:rFonts w:ascii="Arial Narrow" w:hAnsi="Arial Narrow" w:cs="Arial"/>
              </w:rPr>
            </w:pPr>
            <w:r w:rsidRPr="00BA4033">
              <w:rPr>
                <w:rFonts w:ascii="Arial Narrow" w:hAnsi="Arial Narrow" w:cs="Arial"/>
                <w:b/>
                <w:i/>
                <w:color w:val="000000"/>
              </w:rPr>
              <w:t>WS 11-12</w:t>
            </w:r>
            <w:r w:rsidRPr="00BA4033">
              <w:rPr>
                <w:rFonts w:ascii="Arial Narrow" w:hAnsi="Arial Narrow" w:cs="Arial"/>
                <w:b/>
                <w:color w:val="000000"/>
              </w:rPr>
              <w:t>.6</w:t>
            </w:r>
            <w:proofErr w:type="gramStart"/>
            <w:r w:rsidRPr="00BA4033">
              <w:rPr>
                <w:rFonts w:ascii="Arial Narrow" w:hAnsi="Arial Narrow" w:cs="Arial"/>
                <w:color w:val="000000"/>
              </w:rPr>
              <w:t xml:space="preserve">. </w:t>
            </w:r>
            <w:proofErr w:type="gramEnd"/>
            <w:r w:rsidRPr="00BA4033">
              <w:rPr>
                <w:rFonts w:ascii="Arial Narrow" w:hAnsi="Arial Narrow" w:cs="Arial"/>
                <w:color w:val="000000"/>
              </w:rPr>
              <w:t>Use technology, including the Internet, to produce, publish, and update individual or shared writing products in response to ongoing feedback, including new arguments or information.</w:t>
            </w:r>
          </w:p>
          <w:p w:rsidR="00271FC0" w:rsidRPr="00C16BDA" w:rsidRDefault="00271FC0" w:rsidP="00D0672C">
            <w:pPr>
              <w:rPr>
                <w:rFonts w:ascii="Arial Narrow" w:hAnsi="Arial Narrow" w:cs="Arial Narrow"/>
                <w:b/>
                <w:bCs/>
              </w:rPr>
            </w:pPr>
            <w:proofErr w:type="gramStart"/>
            <w:r w:rsidRPr="00BA4033">
              <w:rPr>
                <w:rFonts w:ascii="Arial Narrow" w:hAnsi="Arial Narrow" w:cs="Arial Narrow"/>
                <w:b/>
              </w:rPr>
              <w:t>WS11-12.7</w:t>
            </w:r>
            <w:r w:rsidRPr="00BA4033">
              <w:rPr>
                <w:rFonts w:ascii="Arial Narrow" w:hAnsi="Arial Narrow" w:cs="Arial Narrow"/>
              </w:rPr>
              <w:t>.</w:t>
            </w:r>
            <w:r w:rsidRPr="00C16BDA">
              <w:rPr>
                <w:rFonts w:ascii="Arial Narrow" w:hAnsi="Arial Narrow" w:cs="Arial Narrow"/>
              </w:rPr>
              <w:t xml:space="preserve">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  <w:proofErr w:type="gramEnd"/>
          </w:p>
        </w:tc>
      </w:tr>
      <w:tr w:rsidR="00271FC0" w:rsidTr="00186AE5">
        <w:tc>
          <w:tcPr>
            <w:tcW w:w="9558" w:type="dxa"/>
            <w:gridSpan w:val="2"/>
            <w:vAlign w:val="center"/>
          </w:tcPr>
          <w:p w:rsidR="00271FC0" w:rsidRPr="00271FC0" w:rsidRDefault="00271FC0" w:rsidP="00F84300">
            <w:pPr>
              <w:autoSpaceDE w:val="0"/>
              <w:autoSpaceDN w:val="0"/>
              <w:adjustRightInd w:val="0"/>
              <w:ind w:left="90" w:hanging="90"/>
              <w:rPr>
                <w:rFonts w:ascii="Arial Narrow" w:hAnsi="Arial Narrow" w:cs="Arial Narrow"/>
                <w:b/>
              </w:rPr>
            </w:pPr>
            <w:r w:rsidRPr="00271FC0">
              <w:rPr>
                <w:rFonts w:ascii="Arial Narrow" w:hAnsi="Arial Narrow" w:cs="Arial Narrow"/>
                <w:b/>
              </w:rPr>
              <w:t>Number and Quantity – N-Q – Quantities</w:t>
            </w:r>
          </w:p>
          <w:p w:rsidR="00271FC0" w:rsidRPr="00C16BDA" w:rsidRDefault="00271FC0" w:rsidP="00F84300">
            <w:pPr>
              <w:autoSpaceDE w:val="0"/>
              <w:autoSpaceDN w:val="0"/>
              <w:adjustRightInd w:val="0"/>
              <w:ind w:left="90" w:hanging="90"/>
              <w:rPr>
                <w:rFonts w:ascii="Arial Narrow" w:hAnsi="Arial Narrow" w:cs="Arial Narrow"/>
                <w:b/>
                <w:bCs/>
              </w:rPr>
            </w:pPr>
            <w:r w:rsidRPr="00C16BDA">
              <w:rPr>
                <w:rFonts w:ascii="Arial Narrow" w:hAnsi="Arial Narrow" w:cs="Arial Narrow"/>
              </w:rPr>
              <w:t>1. Use units as a way to understand problems and to guide the solution of multi-step problems; choose and interpret units consistently in formulas; choose and interpret the scale and the origin in graphs and data displays.</w:t>
            </w:r>
          </w:p>
        </w:tc>
      </w:tr>
      <w:tr w:rsidR="00271FC0" w:rsidTr="00186AE5">
        <w:tc>
          <w:tcPr>
            <w:tcW w:w="9558" w:type="dxa"/>
            <w:gridSpan w:val="2"/>
            <w:vAlign w:val="center"/>
          </w:tcPr>
          <w:p w:rsidR="00271FC0" w:rsidRPr="00C16BDA" w:rsidRDefault="00271FC0" w:rsidP="00F84300">
            <w:pPr>
              <w:autoSpaceDE w:val="0"/>
              <w:autoSpaceDN w:val="0"/>
              <w:adjustRightInd w:val="0"/>
            </w:pPr>
            <w:r w:rsidRPr="00C16BDA">
              <w:rPr>
                <w:rFonts w:ascii="Arial Narrow" w:hAnsi="Arial Narrow" w:cs="Arial Narrow"/>
              </w:rPr>
              <w:t>2. Define appropriate quantities for the purpose of descriptive modeling.</w:t>
            </w:r>
          </w:p>
        </w:tc>
      </w:tr>
      <w:tr w:rsidR="00CF1199" w:rsidTr="00186AE5">
        <w:tc>
          <w:tcPr>
            <w:tcW w:w="9558" w:type="dxa"/>
            <w:gridSpan w:val="2"/>
          </w:tcPr>
          <w:p w:rsidR="00CF1199" w:rsidRDefault="00CF1199">
            <w:pPr>
              <w:pStyle w:val="Heading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lastRenderedPageBreak/>
              <w:t>CTE Pathway Standards</w:t>
            </w:r>
          </w:p>
        </w:tc>
      </w:tr>
      <w:tr w:rsidR="00CF1199" w:rsidTr="00186AE5">
        <w:tc>
          <w:tcPr>
            <w:tcW w:w="9558" w:type="dxa"/>
            <w:gridSpan w:val="2"/>
          </w:tcPr>
          <w:p w:rsidR="003802F5" w:rsidRDefault="003802F5" w:rsidP="003802F5">
            <w:pPr>
              <w:pStyle w:val="Pa10"/>
              <w:spacing w:before="140" w:after="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CTE Pathway:  Business Management Pathway </w:t>
            </w:r>
          </w:p>
          <w:p w:rsidR="003802F5" w:rsidRDefault="003802F5" w:rsidP="003802F5">
            <w:pPr>
              <w:pStyle w:val="Pa13"/>
              <w:spacing w:after="200"/>
              <w:rPr>
                <w:rFonts w:ascii="RotisSansSerif" w:hAnsi="RotisSansSerif" w:cs="RotisSansSerif"/>
                <w:sz w:val="23"/>
                <w:szCs w:val="23"/>
              </w:rPr>
            </w:pPr>
            <w:r>
              <w:rPr>
                <w:rFonts w:ascii="RotisSansSerif" w:hAnsi="RotisSansSerif" w:cs="RotisSansSerif"/>
                <w:sz w:val="23"/>
                <w:szCs w:val="23"/>
              </w:rPr>
              <w:t>Management consists of planning, leading, and controlling an organization or effort to accomplish a goal</w:t>
            </w:r>
            <w:proofErr w:type="gramStart"/>
            <w:r>
              <w:rPr>
                <w:rFonts w:ascii="RotisSansSerif" w:hAnsi="RotisSansSerif" w:cs="RotisSansSerif"/>
                <w:sz w:val="23"/>
                <w:szCs w:val="23"/>
              </w:rPr>
              <w:t xml:space="preserve">. </w:t>
            </w:r>
            <w:proofErr w:type="gramEnd"/>
            <w:r>
              <w:rPr>
                <w:rFonts w:ascii="RotisSansSerif" w:hAnsi="RotisSansSerif" w:cs="RotisSansSerif"/>
                <w:sz w:val="23"/>
                <w:szCs w:val="23"/>
              </w:rPr>
              <w:t>In the Business Management pathway, students learn entrepreneurship and business funda</w:t>
            </w:r>
            <w:r>
              <w:rPr>
                <w:rFonts w:ascii="RotisSansSerif" w:hAnsi="RotisSansSerif" w:cs="RotisSansSerif"/>
                <w:sz w:val="23"/>
                <w:szCs w:val="23"/>
              </w:rPr>
              <w:softHyphen/>
              <w:t xml:space="preserve">mentals, goal-setting, resource allocation, organizational structure and management techniques, economics, financial data, risk management, information technology, and supply chain management. </w:t>
            </w:r>
          </w:p>
          <w:p w:rsidR="003802F5" w:rsidRDefault="003802F5" w:rsidP="003802F5">
            <w:pPr>
              <w:pStyle w:val="Pa14"/>
              <w:spacing w:after="60"/>
              <w:rPr>
                <w:rFonts w:ascii="RotisSansSerif" w:hAnsi="RotisSansSerif" w:cs="RotisSansSerif"/>
                <w:sz w:val="23"/>
                <w:szCs w:val="23"/>
              </w:rPr>
            </w:pPr>
            <w:r>
              <w:rPr>
                <w:rFonts w:ascii="RotisSansSerif" w:hAnsi="RotisSansSerif" w:cs="RotisSansSerif"/>
                <w:sz w:val="23"/>
                <w:szCs w:val="23"/>
              </w:rPr>
              <w:t xml:space="preserve">Sample occupations associated with this pathway: </w:t>
            </w:r>
          </w:p>
          <w:p w:rsidR="003802F5" w:rsidRDefault="003802F5" w:rsidP="003802F5">
            <w:pPr>
              <w:pStyle w:val="Pa15"/>
              <w:numPr>
                <w:ilvl w:val="0"/>
                <w:numId w:val="7"/>
              </w:numPr>
              <w:spacing w:after="60"/>
              <w:rPr>
                <w:rFonts w:ascii="RotisSansSerif" w:hAnsi="RotisSansSerif" w:cs="RotisSansSerif"/>
                <w:sz w:val="23"/>
                <w:szCs w:val="23"/>
              </w:rPr>
            </w:pPr>
            <w:r>
              <w:rPr>
                <w:rFonts w:ascii="RotisSansSerif" w:hAnsi="RotisSansSerif" w:cs="RotisSansSerif"/>
                <w:sz w:val="23"/>
                <w:szCs w:val="23"/>
              </w:rPr>
              <w:t xml:space="preserve">Human Resources Specialist </w:t>
            </w:r>
          </w:p>
          <w:p w:rsidR="003802F5" w:rsidRDefault="003802F5" w:rsidP="003802F5">
            <w:pPr>
              <w:pStyle w:val="Pa15"/>
              <w:numPr>
                <w:ilvl w:val="0"/>
                <w:numId w:val="7"/>
              </w:numPr>
              <w:spacing w:after="60"/>
              <w:rPr>
                <w:rFonts w:ascii="RotisSansSerif" w:hAnsi="RotisSansSerif" w:cs="RotisSansSerif"/>
                <w:sz w:val="23"/>
                <w:szCs w:val="23"/>
              </w:rPr>
            </w:pPr>
            <w:r>
              <w:rPr>
                <w:rFonts w:ascii="RotisSansSerif" w:hAnsi="RotisSansSerif" w:cs="RotisSansSerif"/>
                <w:sz w:val="23"/>
                <w:szCs w:val="23"/>
              </w:rPr>
              <w:t xml:space="preserve">Education Administrator </w:t>
            </w:r>
          </w:p>
          <w:p w:rsidR="003802F5" w:rsidRDefault="003802F5" w:rsidP="003802F5">
            <w:pPr>
              <w:pStyle w:val="Pa15"/>
              <w:numPr>
                <w:ilvl w:val="0"/>
                <w:numId w:val="7"/>
              </w:numPr>
              <w:spacing w:after="60"/>
              <w:rPr>
                <w:rFonts w:ascii="RotisSansSerif" w:hAnsi="RotisSansSerif" w:cs="RotisSansSerif"/>
                <w:sz w:val="23"/>
                <w:szCs w:val="23"/>
              </w:rPr>
            </w:pPr>
            <w:r>
              <w:rPr>
                <w:rFonts w:ascii="RotisSansSerif" w:hAnsi="RotisSansSerif" w:cs="RotisSansSerif"/>
                <w:sz w:val="23"/>
                <w:szCs w:val="23"/>
              </w:rPr>
              <w:t xml:space="preserve">Purchasing Agent </w:t>
            </w:r>
          </w:p>
          <w:p w:rsidR="003802F5" w:rsidRDefault="003802F5" w:rsidP="003802F5">
            <w:pPr>
              <w:pStyle w:val="Pa15"/>
              <w:numPr>
                <w:ilvl w:val="0"/>
                <w:numId w:val="7"/>
              </w:numPr>
              <w:spacing w:after="60"/>
              <w:rPr>
                <w:rFonts w:ascii="RotisSansSerif" w:hAnsi="RotisSansSerif" w:cs="RotisSansSerif"/>
                <w:sz w:val="23"/>
                <w:szCs w:val="23"/>
              </w:rPr>
            </w:pPr>
            <w:r>
              <w:rPr>
                <w:rFonts w:ascii="RotisSansSerif" w:hAnsi="RotisSansSerif" w:cs="RotisSansSerif"/>
                <w:sz w:val="23"/>
                <w:szCs w:val="23"/>
              </w:rPr>
              <w:t xml:space="preserve">Office Manager </w:t>
            </w:r>
          </w:p>
          <w:p w:rsidR="009F6559" w:rsidRDefault="003802F5" w:rsidP="003802F5">
            <w:pPr>
              <w:pStyle w:val="Default"/>
              <w:numPr>
                <w:ilvl w:val="0"/>
                <w:numId w:val="7"/>
              </w:numPr>
              <w:rPr>
                <w:rFonts w:ascii="RotisSansSerif" w:hAnsi="RotisSansSerif" w:cs="RotisSansSerif"/>
                <w:sz w:val="23"/>
                <w:szCs w:val="23"/>
              </w:rPr>
            </w:pPr>
            <w:r>
              <w:rPr>
                <w:rFonts w:ascii="RotisSansSerif" w:hAnsi="RotisSansSerif" w:cs="RotisSansSerif"/>
                <w:sz w:val="23"/>
                <w:szCs w:val="23"/>
              </w:rPr>
              <w:t>Chief Financial Officer</w:t>
            </w:r>
          </w:p>
          <w:p w:rsidR="003802F5" w:rsidRDefault="003802F5" w:rsidP="003802F5">
            <w:pPr>
              <w:pStyle w:val="Default"/>
            </w:pPr>
          </w:p>
          <w:p w:rsidR="009F6559" w:rsidRDefault="009F6559" w:rsidP="009F6559">
            <w:pPr>
              <w:pStyle w:val="Pa10"/>
              <w:spacing w:before="140" w:after="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4.0 Technology </w:t>
            </w:r>
          </w:p>
          <w:p w:rsidR="009F6559" w:rsidRDefault="009F6559" w:rsidP="009F6559">
            <w:pPr>
              <w:pStyle w:val="Pa11"/>
              <w:spacing w:after="140"/>
              <w:rPr>
                <w:rFonts w:ascii="RotisSansSerif" w:hAnsi="RotisSansSerif" w:cs="RotisSansSerif"/>
                <w:sz w:val="23"/>
                <w:szCs w:val="23"/>
              </w:rPr>
            </w:pPr>
            <w:r>
              <w:rPr>
                <w:rFonts w:ascii="RotisSansSerif" w:hAnsi="RotisSansSerif" w:cs="RotisSansSerif"/>
                <w:sz w:val="23"/>
                <w:szCs w:val="23"/>
              </w:rPr>
              <w:t>Use existing and emerging technology to investigate, research, and produce products and services, including new information, as required in the Business and Finance sector workplace environment</w:t>
            </w:r>
            <w:proofErr w:type="gramStart"/>
            <w:r>
              <w:rPr>
                <w:rFonts w:ascii="RotisSansSerif" w:hAnsi="RotisSansSerif" w:cs="RotisSansSerif"/>
                <w:sz w:val="23"/>
                <w:szCs w:val="23"/>
              </w:rPr>
              <w:t xml:space="preserve">. </w:t>
            </w:r>
            <w:proofErr w:type="gramEnd"/>
            <w:r>
              <w:rPr>
                <w:rFonts w:ascii="RotisSansSerif" w:hAnsi="RotisSansSerif" w:cs="RotisSansSerif"/>
                <w:sz w:val="23"/>
                <w:szCs w:val="23"/>
              </w:rPr>
              <w:t xml:space="preserve">(Direct alignment with WS 11-12.6) </w:t>
            </w:r>
          </w:p>
          <w:p w:rsidR="00BA4033" w:rsidRPr="00BA4033" w:rsidRDefault="00BA4033" w:rsidP="00BA4033">
            <w:pPr>
              <w:pStyle w:val="Default"/>
            </w:pPr>
            <w:r>
              <w:rPr>
                <w:rFonts w:ascii="RotisSansSerif" w:hAnsi="RotisSansSerif" w:cs="RotisSansSerif"/>
                <w:sz w:val="23"/>
                <w:szCs w:val="23"/>
              </w:rPr>
              <w:t>4.1 Use electronic reference materials to gather information and produce products and services</w:t>
            </w:r>
          </w:p>
          <w:p w:rsidR="009F6559" w:rsidRDefault="009F6559" w:rsidP="009F6559">
            <w:pPr>
              <w:pStyle w:val="Pa10"/>
              <w:spacing w:before="140" w:after="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5.0 Problem Solving and Critical Thinking </w:t>
            </w:r>
          </w:p>
          <w:p w:rsidR="009F6559" w:rsidRDefault="009F6559" w:rsidP="009F6559">
            <w:pPr>
              <w:pStyle w:val="Pa11"/>
              <w:spacing w:after="140"/>
              <w:rPr>
                <w:rFonts w:ascii="RotisSansSerif" w:hAnsi="RotisSansSerif" w:cs="RotisSansSerif"/>
                <w:sz w:val="23"/>
                <w:szCs w:val="23"/>
              </w:rPr>
            </w:pPr>
            <w:r>
              <w:rPr>
                <w:rFonts w:ascii="RotisSansSerif" w:hAnsi="RotisSansSerif" w:cs="RotisSansSerif"/>
                <w:sz w:val="23"/>
                <w:szCs w:val="23"/>
              </w:rPr>
              <w:t>Conduct short, as well as more sustained, research to create alternative solutions to answer a question or solve a problem unique to the Business and Finance sector using critical and creative thinking, logical reasoning, analysis, inquiry, and problem-solving techniques</w:t>
            </w:r>
            <w:proofErr w:type="gramStart"/>
            <w:r>
              <w:rPr>
                <w:rFonts w:ascii="RotisSansSerif" w:hAnsi="RotisSansSerif" w:cs="RotisSansSerif"/>
                <w:sz w:val="23"/>
                <w:szCs w:val="23"/>
              </w:rPr>
              <w:t xml:space="preserve">. </w:t>
            </w:r>
            <w:proofErr w:type="gramEnd"/>
            <w:r>
              <w:rPr>
                <w:rFonts w:ascii="RotisSansSerif" w:hAnsi="RotisSansSerif" w:cs="RotisSansSerif"/>
                <w:sz w:val="23"/>
                <w:szCs w:val="23"/>
              </w:rPr>
              <w:t xml:space="preserve">(Direct alignment with WS 11-12.7) </w:t>
            </w:r>
          </w:p>
          <w:p w:rsidR="009F6559" w:rsidRPr="00BA4033" w:rsidRDefault="009F6559" w:rsidP="00BA4033">
            <w:pPr>
              <w:ind w:left="720" w:hanging="720"/>
              <w:rPr>
                <w:rFonts w:ascii="RotisSansSerif" w:hAnsi="RotisSansSerif" w:cs="RotisSansSerif"/>
                <w:sz w:val="23"/>
                <w:szCs w:val="23"/>
              </w:rPr>
            </w:pPr>
            <w:r>
              <w:rPr>
                <w:rFonts w:ascii="RotisSansSerif" w:hAnsi="RotisSansSerif" w:cs="RotisSansSerif"/>
                <w:sz w:val="23"/>
                <w:szCs w:val="23"/>
              </w:rPr>
              <w:t xml:space="preserve">5.1 Identify and ask significant questions that clarify various points of view to solve problems. </w:t>
            </w:r>
          </w:p>
          <w:p w:rsidR="009F6559" w:rsidRPr="009F6559" w:rsidRDefault="003802F5" w:rsidP="009F6559">
            <w:pPr>
              <w:autoSpaceDE w:val="0"/>
              <w:autoSpaceDN w:val="0"/>
              <w:adjustRightInd w:val="0"/>
              <w:spacing w:after="100" w:line="241" w:lineRule="atLeast"/>
              <w:ind w:left="620" w:hanging="620"/>
              <w:rPr>
                <w:rFonts w:ascii="RotisSansSerif" w:hAnsi="RotisSansSerif"/>
                <w:sz w:val="23"/>
                <w:szCs w:val="23"/>
              </w:rPr>
            </w:pPr>
            <w:r>
              <w:rPr>
                <w:rFonts w:ascii="RotisSansSerif" w:hAnsi="RotisSansSerif"/>
                <w:sz w:val="23"/>
                <w:szCs w:val="23"/>
              </w:rPr>
              <w:t>A</w:t>
            </w:r>
            <w:r w:rsidR="009F6559" w:rsidRPr="009F6559">
              <w:rPr>
                <w:rFonts w:ascii="RotisSansSerif" w:hAnsi="RotisSansSerif"/>
                <w:sz w:val="23"/>
                <w:szCs w:val="23"/>
              </w:rPr>
              <w:t xml:space="preserve">5.0 Analyze financial data in order to make short-term and long-term decisions. </w:t>
            </w:r>
          </w:p>
          <w:p w:rsidR="009F6559" w:rsidRDefault="009F6559" w:rsidP="009F6559">
            <w:pPr>
              <w:pStyle w:val="Default"/>
            </w:pPr>
            <w:r w:rsidRPr="009F6559">
              <w:rPr>
                <w:rFonts w:ascii="RotisSansSerif" w:hAnsi="RotisSansSerif" w:cs="Times New Roman"/>
                <w:color w:val="auto"/>
                <w:sz w:val="23"/>
                <w:szCs w:val="23"/>
              </w:rPr>
              <w:t xml:space="preserve">A5.6 Create and use budgets to guide financial </w:t>
            </w:r>
            <w:r w:rsidR="003802F5" w:rsidRPr="009F6559">
              <w:rPr>
                <w:rFonts w:ascii="RotisSansSerif" w:hAnsi="RotisSansSerif" w:cs="Times New Roman"/>
                <w:color w:val="auto"/>
                <w:sz w:val="23"/>
                <w:szCs w:val="23"/>
              </w:rPr>
              <w:t>decision-making</w:t>
            </w:r>
            <w:r w:rsidRPr="009F6559">
              <w:rPr>
                <w:rFonts w:ascii="RotisSansSerif" w:hAnsi="RotisSansSerif" w:cs="Times New Roman"/>
                <w:color w:val="auto"/>
                <w:sz w:val="23"/>
                <w:szCs w:val="23"/>
              </w:rPr>
              <w:t>.</w:t>
            </w:r>
          </w:p>
          <w:p w:rsidR="009F6559" w:rsidRDefault="009F6559" w:rsidP="009F6559">
            <w:pPr>
              <w:pStyle w:val="Pa10"/>
              <w:spacing w:before="140" w:after="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7.0 Responsibility and Flexibility </w:t>
            </w:r>
          </w:p>
          <w:p w:rsidR="009F6559" w:rsidRDefault="009F6559" w:rsidP="009F6559">
            <w:pPr>
              <w:pStyle w:val="Pa11"/>
              <w:spacing w:after="140"/>
              <w:rPr>
                <w:rFonts w:ascii="RotisSansSerif" w:hAnsi="RotisSansSerif" w:cs="RotisSansSerif"/>
                <w:sz w:val="23"/>
                <w:szCs w:val="23"/>
              </w:rPr>
            </w:pPr>
            <w:r>
              <w:rPr>
                <w:rFonts w:ascii="RotisSansSerif" w:hAnsi="RotisSansSerif" w:cs="RotisSansSerif"/>
                <w:sz w:val="23"/>
                <w:szCs w:val="23"/>
              </w:rPr>
              <w:t>Initiate, and participate in, a range of collaborations demonstrating behaviors that reflect personal and professional responsibility, flexibility, and respect in the Business and Finance sector workplace environment and community settings</w:t>
            </w:r>
            <w:proofErr w:type="gramStart"/>
            <w:r>
              <w:rPr>
                <w:rFonts w:ascii="RotisSansSerif" w:hAnsi="RotisSansSerif" w:cs="RotisSansSerif"/>
                <w:sz w:val="23"/>
                <w:szCs w:val="23"/>
              </w:rPr>
              <w:t xml:space="preserve">. </w:t>
            </w:r>
            <w:proofErr w:type="gramEnd"/>
            <w:r>
              <w:rPr>
                <w:rFonts w:ascii="RotisSansSerif" w:hAnsi="RotisSansSerif" w:cs="RotisSansSerif"/>
                <w:sz w:val="23"/>
                <w:szCs w:val="23"/>
              </w:rPr>
              <w:t xml:space="preserve">(Direct alignment with SLS 9-10, 11-12.1) </w:t>
            </w:r>
          </w:p>
          <w:p w:rsidR="009F6559" w:rsidRDefault="009F6559" w:rsidP="009F6559">
            <w:pPr>
              <w:ind w:left="720" w:hanging="720"/>
              <w:rPr>
                <w:rFonts w:ascii="RotisSansSerif" w:hAnsi="RotisSansSerif" w:cs="RotisSansSerif"/>
                <w:sz w:val="23"/>
                <w:szCs w:val="23"/>
              </w:rPr>
            </w:pPr>
            <w:r>
              <w:rPr>
                <w:rFonts w:ascii="RotisSansSerif" w:hAnsi="RotisSansSerif" w:cs="RotisSansSerif"/>
                <w:sz w:val="23"/>
                <w:szCs w:val="23"/>
              </w:rPr>
              <w:t xml:space="preserve">7.6 Demonstrate knowledge and practice of responsible financial management. </w:t>
            </w:r>
          </w:p>
          <w:p w:rsidR="003802F5" w:rsidRDefault="003802F5" w:rsidP="00CF1199">
            <w:pPr>
              <w:ind w:left="720" w:hanging="720"/>
            </w:pPr>
          </w:p>
          <w:p w:rsidR="00CF1199" w:rsidRPr="003802F5" w:rsidRDefault="00CF1199" w:rsidP="003802F5">
            <w:pPr>
              <w:ind w:left="1440" w:hanging="720"/>
            </w:pPr>
          </w:p>
        </w:tc>
      </w:tr>
      <w:tr w:rsidR="00271FC0" w:rsidTr="00186AE5">
        <w:tc>
          <w:tcPr>
            <w:tcW w:w="9558" w:type="dxa"/>
            <w:gridSpan w:val="2"/>
          </w:tcPr>
          <w:p w:rsidR="00271FC0" w:rsidRDefault="00271FC0">
            <w:pPr>
              <w:pStyle w:val="Heading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Lesson Plan Relevance </w:t>
            </w:r>
            <w:proofErr w:type="gramStart"/>
            <w:r>
              <w:rPr>
                <w:rFonts w:ascii="Arial" w:hAnsi="Arial"/>
                <w:sz w:val="32"/>
              </w:rPr>
              <w:t>To</w:t>
            </w:r>
            <w:proofErr w:type="gramEnd"/>
            <w:r>
              <w:rPr>
                <w:rFonts w:ascii="Arial" w:hAnsi="Arial"/>
                <w:sz w:val="32"/>
              </w:rPr>
              <w:t xml:space="preserve"> Externship</w:t>
            </w:r>
          </w:p>
        </w:tc>
      </w:tr>
      <w:tr w:rsidR="00271FC0" w:rsidTr="00186AE5">
        <w:tc>
          <w:tcPr>
            <w:tcW w:w="9558" w:type="dxa"/>
            <w:gridSpan w:val="2"/>
          </w:tcPr>
          <w:p w:rsidR="000218BF" w:rsidRDefault="00306F8A" w:rsidP="00306F8A">
            <w:pPr>
              <w:pStyle w:val="ListParagraph"/>
              <w:numPr>
                <w:ilvl w:val="0"/>
                <w:numId w:val="5"/>
              </w:numPr>
            </w:pPr>
            <w:r>
              <w:t xml:space="preserve">Soil Born farms is an Urban Farm that promotes sustainability.  As students learn about the benefits of organic, local farms, farmers markets – this lesson will give students an </w:t>
            </w:r>
            <w:r>
              <w:lastRenderedPageBreak/>
              <w:t xml:space="preserve">introduction to designing and developing their own edible garden from soil preparation, seasons and growing cycles to bringing a product to market.  </w:t>
            </w:r>
          </w:p>
        </w:tc>
      </w:tr>
      <w:tr w:rsidR="00CF1199" w:rsidTr="00186AE5">
        <w:tc>
          <w:tcPr>
            <w:tcW w:w="9558" w:type="dxa"/>
            <w:gridSpan w:val="2"/>
          </w:tcPr>
          <w:p w:rsidR="00CF1199" w:rsidRDefault="003802F5" w:rsidP="00BA4033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Students will have the opportunity to analyze the impact of growing their own groceries </w:t>
            </w:r>
            <w:r w:rsidR="00BA4033">
              <w:t>on</w:t>
            </w:r>
            <w:r>
              <w:t xml:space="preserve"> their personal budget.</w:t>
            </w:r>
          </w:p>
        </w:tc>
      </w:tr>
    </w:tbl>
    <w:p w:rsidR="008008E9" w:rsidRDefault="008008E9"/>
    <w:p w:rsidR="008008E9" w:rsidRDefault="008008E9">
      <w:pPr>
        <w:sectPr w:rsidR="008008E9" w:rsidSect="008008E9">
          <w:headerReference w:type="even" r:id="rId9"/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BF" w:firstRow="1" w:lastRow="0" w:firstColumn="1" w:lastColumn="0" w:noHBand="0" w:noVBand="0"/>
      </w:tblPr>
      <w:tblGrid>
        <w:gridCol w:w="2268"/>
        <w:gridCol w:w="2727"/>
        <w:gridCol w:w="2727"/>
        <w:gridCol w:w="2727"/>
        <w:gridCol w:w="2727"/>
      </w:tblGrid>
      <w:tr w:rsidR="004C7A65" w:rsidTr="00AA07F4">
        <w:trPr>
          <w:trHeight w:val="1145"/>
        </w:trPr>
        <w:tc>
          <w:tcPr>
            <w:tcW w:w="13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7A65" w:rsidRDefault="004C7A65" w:rsidP="004C7A65">
            <w:pPr>
              <w:jc w:val="center"/>
              <w:rPr>
                <w:sz w:val="36"/>
                <w:u w:val="double"/>
              </w:rPr>
            </w:pPr>
            <w:r>
              <w:rPr>
                <w:rFonts w:ascii="Arial" w:hAnsi="Arial"/>
                <w:sz w:val="36"/>
                <w:u w:val="double"/>
              </w:rPr>
              <w:lastRenderedPageBreak/>
              <w:t xml:space="preserve">Rubric for the </w:t>
            </w:r>
            <w:r>
              <w:rPr>
                <w:rFonts w:ascii="Arial" w:hAnsi="Arial"/>
                <w:sz w:val="36"/>
                <w:u w:val="double"/>
              </w:rPr>
              <w:t>Garden to Table</w:t>
            </w:r>
            <w:r>
              <w:rPr>
                <w:rFonts w:ascii="Arial" w:hAnsi="Arial"/>
                <w:sz w:val="36"/>
                <w:u w:val="double"/>
              </w:rPr>
              <w:t xml:space="preserve"> Project</w:t>
            </w:r>
          </w:p>
        </w:tc>
      </w:tr>
      <w:tr w:rsidR="004C7A65" w:rsidTr="00AA07F4">
        <w:tc>
          <w:tcPr>
            <w:tcW w:w="2268" w:type="dxa"/>
            <w:tcBorders>
              <w:top w:val="single" w:sz="4" w:space="0" w:color="auto"/>
            </w:tcBorders>
          </w:tcPr>
          <w:p w:rsidR="004C7A65" w:rsidRDefault="004C7A65" w:rsidP="00AA07F4">
            <w:pPr>
              <w:jc w:val="center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>Student Deliverables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4C7A65" w:rsidRDefault="004C7A65" w:rsidP="00AA07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C7A65" w:rsidRDefault="004C7A65" w:rsidP="00AA07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Exceeds </w:t>
            </w:r>
          </w:p>
          <w:p w:rsidR="004C7A65" w:rsidRDefault="004C7A65" w:rsidP="00AA07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Expectations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4C7A65" w:rsidRDefault="004C7A65" w:rsidP="00AA07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C7A65" w:rsidRDefault="004C7A65" w:rsidP="00AA07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Meets </w:t>
            </w:r>
          </w:p>
          <w:p w:rsidR="004C7A65" w:rsidRDefault="004C7A65" w:rsidP="00AA07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Expectations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4C7A65" w:rsidRDefault="004C7A65" w:rsidP="00AA07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C7A65" w:rsidRDefault="004C7A65" w:rsidP="00AA07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Approaches Expectations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4C7A65" w:rsidRDefault="004C7A65" w:rsidP="00AA07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C7A65" w:rsidRDefault="004C7A65" w:rsidP="00AA07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Fails to meet Expectations</w:t>
            </w:r>
          </w:p>
        </w:tc>
      </w:tr>
      <w:tr w:rsidR="004C7A65" w:rsidTr="00AA07F4">
        <w:tc>
          <w:tcPr>
            <w:tcW w:w="2268" w:type="dxa"/>
          </w:tcPr>
          <w:p w:rsidR="004C7A65" w:rsidRDefault="004C7A65" w:rsidP="00AA07F4">
            <w:r>
              <w:t>Presentation of Garden/Planting Guide</w:t>
            </w:r>
          </w:p>
        </w:tc>
        <w:tc>
          <w:tcPr>
            <w:tcW w:w="2727" w:type="dxa"/>
          </w:tcPr>
          <w:p w:rsidR="004C7A65" w:rsidRDefault="004C7A65" w:rsidP="00AA07F4">
            <w:r>
              <w:t>5 to 6 plants are colored in the planting bed</w:t>
            </w:r>
          </w:p>
        </w:tc>
        <w:tc>
          <w:tcPr>
            <w:tcW w:w="2727" w:type="dxa"/>
          </w:tcPr>
          <w:p w:rsidR="004C7A65" w:rsidRDefault="004C7A65" w:rsidP="00AA07F4">
            <w:r>
              <w:t>3 to 4 plants are colored in the planting bed</w:t>
            </w:r>
          </w:p>
        </w:tc>
        <w:tc>
          <w:tcPr>
            <w:tcW w:w="2727" w:type="dxa"/>
          </w:tcPr>
          <w:p w:rsidR="004C7A65" w:rsidRDefault="004C7A65" w:rsidP="00AA07F4">
            <w:r>
              <w:t>2 to 3 plants are colored in the planting bed</w:t>
            </w:r>
          </w:p>
        </w:tc>
        <w:tc>
          <w:tcPr>
            <w:tcW w:w="2727" w:type="dxa"/>
          </w:tcPr>
          <w:p w:rsidR="004C7A65" w:rsidRDefault="004C7A65" w:rsidP="00AA07F4">
            <w:r>
              <w:t>0 to 1 plants are colored in the planting bed</w:t>
            </w:r>
          </w:p>
        </w:tc>
      </w:tr>
      <w:tr w:rsidR="004C7A65" w:rsidTr="00AA07F4">
        <w:tc>
          <w:tcPr>
            <w:tcW w:w="2268" w:type="dxa"/>
          </w:tcPr>
          <w:p w:rsidR="004C7A65" w:rsidRDefault="004C7A65" w:rsidP="00AA07F4">
            <w:r>
              <w:t>Identification of each plant</w:t>
            </w:r>
          </w:p>
        </w:tc>
        <w:tc>
          <w:tcPr>
            <w:tcW w:w="2727" w:type="dxa"/>
          </w:tcPr>
          <w:p w:rsidR="004C7A65" w:rsidRDefault="004C7A65" w:rsidP="00AA07F4">
            <w:r>
              <w:t>5 to 6 plants are clearly labeled/identified</w:t>
            </w:r>
          </w:p>
        </w:tc>
        <w:tc>
          <w:tcPr>
            <w:tcW w:w="2727" w:type="dxa"/>
          </w:tcPr>
          <w:p w:rsidR="004C7A65" w:rsidRDefault="004C7A65" w:rsidP="00AA07F4">
            <w:r>
              <w:t>3 to 4 plants are clearly labeled/identified</w:t>
            </w:r>
          </w:p>
        </w:tc>
        <w:tc>
          <w:tcPr>
            <w:tcW w:w="2727" w:type="dxa"/>
          </w:tcPr>
          <w:p w:rsidR="004C7A65" w:rsidRDefault="004C7A65" w:rsidP="00AA07F4">
            <w:r>
              <w:t>2 to 3 plants are clearly labeled/identified</w:t>
            </w:r>
          </w:p>
        </w:tc>
        <w:tc>
          <w:tcPr>
            <w:tcW w:w="2727" w:type="dxa"/>
          </w:tcPr>
          <w:p w:rsidR="004C7A65" w:rsidRDefault="004C7A65" w:rsidP="00AA07F4">
            <w:r>
              <w:t>0 to 1 plants are clearly labeled/identified</w:t>
            </w:r>
          </w:p>
        </w:tc>
      </w:tr>
      <w:tr w:rsidR="004C7A65" w:rsidTr="00AA07F4">
        <w:tc>
          <w:tcPr>
            <w:tcW w:w="2268" w:type="dxa"/>
          </w:tcPr>
          <w:p w:rsidR="004C7A65" w:rsidRDefault="004C7A65" w:rsidP="00AA07F4">
            <w:r>
              <w:t>Clear explanation of why the plants were selected</w:t>
            </w:r>
          </w:p>
        </w:tc>
        <w:tc>
          <w:tcPr>
            <w:tcW w:w="2727" w:type="dxa"/>
          </w:tcPr>
          <w:p w:rsidR="004C7A65" w:rsidRDefault="004C7A65" w:rsidP="00AA07F4">
            <w:r>
              <w:t>Explanation gives 3 statements as to why the plants were selected</w:t>
            </w:r>
          </w:p>
        </w:tc>
        <w:tc>
          <w:tcPr>
            <w:tcW w:w="2727" w:type="dxa"/>
          </w:tcPr>
          <w:p w:rsidR="004C7A65" w:rsidRDefault="004C7A65" w:rsidP="00AA07F4">
            <w:r>
              <w:t>Explanation gives 2 statements as to why the plants were selected</w:t>
            </w:r>
          </w:p>
        </w:tc>
        <w:tc>
          <w:tcPr>
            <w:tcW w:w="2727" w:type="dxa"/>
          </w:tcPr>
          <w:p w:rsidR="004C7A65" w:rsidRDefault="004C7A65" w:rsidP="00AA07F4">
            <w:r>
              <w:t>Explanation gives 1 statements as to why the plants were selected</w:t>
            </w:r>
          </w:p>
        </w:tc>
        <w:tc>
          <w:tcPr>
            <w:tcW w:w="2727" w:type="dxa"/>
          </w:tcPr>
          <w:p w:rsidR="004C7A65" w:rsidRDefault="004C7A65" w:rsidP="00AA07F4">
            <w:r>
              <w:t>Explanation gives 0 statements as to why the plants were selected</w:t>
            </w:r>
          </w:p>
        </w:tc>
      </w:tr>
      <w:tr w:rsidR="004C7A65" w:rsidTr="00AA07F4">
        <w:tc>
          <w:tcPr>
            <w:tcW w:w="2268" w:type="dxa"/>
          </w:tcPr>
          <w:p w:rsidR="004C7A65" w:rsidRDefault="004C7A65" w:rsidP="00AA07F4">
            <w:r>
              <w:t>Price Comparison</w:t>
            </w:r>
          </w:p>
          <w:p w:rsidR="004C7A65" w:rsidRDefault="004C7A65" w:rsidP="00AA07F4">
            <w:r>
              <w:t>Grocery store costs vs. cost of seed or seedling</w:t>
            </w:r>
          </w:p>
        </w:tc>
        <w:tc>
          <w:tcPr>
            <w:tcW w:w="2727" w:type="dxa"/>
          </w:tcPr>
          <w:p w:rsidR="004C7A65" w:rsidRDefault="004C7A65" w:rsidP="00AA07F4"/>
        </w:tc>
        <w:tc>
          <w:tcPr>
            <w:tcW w:w="2727" w:type="dxa"/>
          </w:tcPr>
          <w:p w:rsidR="004C7A65" w:rsidRDefault="004C7A65" w:rsidP="00AA07F4">
            <w:r>
              <w:t>Gives the cost to buy one item in the grocery store and the price to plant (seeds or seedlings)</w:t>
            </w:r>
          </w:p>
        </w:tc>
        <w:tc>
          <w:tcPr>
            <w:tcW w:w="2727" w:type="dxa"/>
          </w:tcPr>
          <w:p w:rsidR="004C7A65" w:rsidRDefault="004C7A65" w:rsidP="00AA07F4"/>
        </w:tc>
        <w:tc>
          <w:tcPr>
            <w:tcW w:w="2727" w:type="dxa"/>
          </w:tcPr>
          <w:p w:rsidR="004C7A65" w:rsidRDefault="004C7A65" w:rsidP="00AA07F4">
            <w:r>
              <w:t>Does not give the cost to buy one item in the grocery store and the price to plant (seeds or seedlings)</w:t>
            </w:r>
          </w:p>
        </w:tc>
      </w:tr>
      <w:tr w:rsidR="004C7A65" w:rsidTr="00AA07F4">
        <w:tc>
          <w:tcPr>
            <w:tcW w:w="2268" w:type="dxa"/>
          </w:tcPr>
          <w:p w:rsidR="004C7A65" w:rsidRDefault="004C7A65" w:rsidP="00AA07F4">
            <w:r>
              <w:t>Clear statement about the benefits of  growing your own garden and the impact on your grocery budget</w:t>
            </w:r>
          </w:p>
        </w:tc>
        <w:tc>
          <w:tcPr>
            <w:tcW w:w="2727" w:type="dxa"/>
          </w:tcPr>
          <w:p w:rsidR="004C7A65" w:rsidRDefault="004C7A65" w:rsidP="00AA07F4">
            <w:r>
              <w:t xml:space="preserve">A well written paragraph with </w:t>
            </w:r>
            <w:proofErr w:type="gramStart"/>
            <w:r>
              <w:t>a statement explaining the benefits of growing your own garden and why</w:t>
            </w:r>
            <w:proofErr w:type="gramEnd"/>
            <w:r>
              <w:t>.</w:t>
            </w:r>
          </w:p>
        </w:tc>
        <w:tc>
          <w:tcPr>
            <w:tcW w:w="2727" w:type="dxa"/>
          </w:tcPr>
          <w:p w:rsidR="004C7A65" w:rsidRDefault="004C7A65" w:rsidP="00AA07F4">
            <w:r>
              <w:t xml:space="preserve">A well written sentence with </w:t>
            </w:r>
            <w:proofErr w:type="gramStart"/>
            <w:r>
              <w:t>a statement explaining the benefits of growing your own garden and why</w:t>
            </w:r>
            <w:proofErr w:type="gramEnd"/>
            <w:r>
              <w:t>.</w:t>
            </w:r>
          </w:p>
        </w:tc>
        <w:tc>
          <w:tcPr>
            <w:tcW w:w="2727" w:type="dxa"/>
          </w:tcPr>
          <w:p w:rsidR="004C7A65" w:rsidRDefault="004C7A65" w:rsidP="00AA07F4">
            <w:proofErr w:type="gramStart"/>
            <w:r>
              <w:t>Gives some explanation on the benefits of growing your own garden.</w:t>
            </w:r>
            <w:proofErr w:type="gramEnd"/>
          </w:p>
        </w:tc>
        <w:tc>
          <w:tcPr>
            <w:tcW w:w="2727" w:type="dxa"/>
          </w:tcPr>
          <w:p w:rsidR="004C7A65" w:rsidRDefault="004C7A65" w:rsidP="00AA07F4">
            <w:r>
              <w:t xml:space="preserve">Does not </w:t>
            </w:r>
            <w:proofErr w:type="gramStart"/>
            <w:r>
              <w:t>give an explanation of</w:t>
            </w:r>
            <w:proofErr w:type="gramEnd"/>
            <w:r>
              <w:t xml:space="preserve"> the advantages of growing your own garden.</w:t>
            </w:r>
          </w:p>
        </w:tc>
      </w:tr>
    </w:tbl>
    <w:p w:rsidR="004C7A65" w:rsidRDefault="004C7A65" w:rsidP="004C7A65"/>
    <w:p w:rsidR="008008E9" w:rsidRDefault="008008E9"/>
    <w:p w:rsidR="008008E9" w:rsidRDefault="008008E9">
      <w:bookmarkStart w:id="0" w:name="_GoBack"/>
      <w:bookmarkEnd w:id="0"/>
    </w:p>
    <w:sectPr w:rsidR="008008E9" w:rsidSect="005F612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7B" w:rsidRDefault="00C0397B" w:rsidP="008008E9">
      <w:r>
        <w:separator/>
      </w:r>
    </w:p>
  </w:endnote>
  <w:endnote w:type="continuationSeparator" w:id="0">
    <w:p w:rsidR="00C0397B" w:rsidRDefault="00C0397B" w:rsidP="0080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ansSerif ExtraBold">
    <w:altName w:val="RotisSansSerif Extr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E9" w:rsidRDefault="008008E9" w:rsidP="008008E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7B" w:rsidRDefault="00C0397B" w:rsidP="008008E9">
      <w:r>
        <w:separator/>
      </w:r>
    </w:p>
  </w:footnote>
  <w:footnote w:type="continuationSeparator" w:id="0">
    <w:p w:rsidR="00C0397B" w:rsidRDefault="00C0397B" w:rsidP="00800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E9" w:rsidRDefault="0025748C" w:rsidP="008008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8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8E9" w:rsidRDefault="008008E9" w:rsidP="008008E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E9" w:rsidRDefault="0025748C" w:rsidP="008008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5E5">
      <w:rPr>
        <w:rStyle w:val="PageNumber"/>
        <w:noProof/>
      </w:rPr>
      <w:t>5</w:t>
    </w:r>
    <w:r>
      <w:rPr>
        <w:rStyle w:val="PageNumber"/>
      </w:rPr>
      <w:fldChar w:fldCharType="end"/>
    </w:r>
  </w:p>
  <w:p w:rsidR="008008E9" w:rsidRDefault="008008E9" w:rsidP="008008E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135"/>
    <w:multiLevelType w:val="hybridMultilevel"/>
    <w:tmpl w:val="DF76578E"/>
    <w:lvl w:ilvl="0" w:tplc="8A9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726A6"/>
    <w:multiLevelType w:val="hybridMultilevel"/>
    <w:tmpl w:val="580AEE66"/>
    <w:lvl w:ilvl="0" w:tplc="2AC2CB2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D2AF3"/>
    <w:multiLevelType w:val="hybridMultilevel"/>
    <w:tmpl w:val="04FC8494"/>
    <w:lvl w:ilvl="0" w:tplc="8A9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D23A6"/>
    <w:multiLevelType w:val="hybridMultilevel"/>
    <w:tmpl w:val="4CA0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05B65"/>
    <w:multiLevelType w:val="hybridMultilevel"/>
    <w:tmpl w:val="5BB81E5C"/>
    <w:lvl w:ilvl="0" w:tplc="8A9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479DE"/>
    <w:multiLevelType w:val="hybridMultilevel"/>
    <w:tmpl w:val="30DE0948"/>
    <w:lvl w:ilvl="0" w:tplc="8A9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863C2B"/>
    <w:multiLevelType w:val="hybridMultilevel"/>
    <w:tmpl w:val="803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6F"/>
    <w:rsid w:val="000218BF"/>
    <w:rsid w:val="001125E5"/>
    <w:rsid w:val="00186AE5"/>
    <w:rsid w:val="0025748C"/>
    <w:rsid w:val="00271FC0"/>
    <w:rsid w:val="00306F8A"/>
    <w:rsid w:val="00337163"/>
    <w:rsid w:val="003802F5"/>
    <w:rsid w:val="004A7DDA"/>
    <w:rsid w:val="004C7A65"/>
    <w:rsid w:val="00562280"/>
    <w:rsid w:val="005974DC"/>
    <w:rsid w:val="005F2166"/>
    <w:rsid w:val="005F6129"/>
    <w:rsid w:val="006C707F"/>
    <w:rsid w:val="00790B35"/>
    <w:rsid w:val="007E57F2"/>
    <w:rsid w:val="008008E9"/>
    <w:rsid w:val="009D7875"/>
    <w:rsid w:val="009F6559"/>
    <w:rsid w:val="00A02F0C"/>
    <w:rsid w:val="00A135C3"/>
    <w:rsid w:val="00B14F60"/>
    <w:rsid w:val="00B73172"/>
    <w:rsid w:val="00B83D6F"/>
    <w:rsid w:val="00BA4033"/>
    <w:rsid w:val="00C024BD"/>
    <w:rsid w:val="00C0397B"/>
    <w:rsid w:val="00CD27E4"/>
    <w:rsid w:val="00CF0331"/>
    <w:rsid w:val="00CF1199"/>
    <w:rsid w:val="00E514D6"/>
    <w:rsid w:val="00E51653"/>
    <w:rsid w:val="00ED29A3"/>
    <w:rsid w:val="00F32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3B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073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3B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073BB"/>
    <w:rPr>
      <w:sz w:val="24"/>
      <w:szCs w:val="24"/>
    </w:rPr>
  </w:style>
  <w:style w:type="character" w:styleId="PageNumber">
    <w:name w:val="page number"/>
    <w:uiPriority w:val="99"/>
    <w:semiHidden/>
    <w:unhideWhenUsed/>
    <w:rsid w:val="00B073BB"/>
  </w:style>
  <w:style w:type="paragraph" w:styleId="ListParagraph">
    <w:name w:val="List Paragraph"/>
    <w:basedOn w:val="Normal"/>
    <w:uiPriority w:val="34"/>
    <w:qFormat/>
    <w:rsid w:val="00271FC0"/>
    <w:pPr>
      <w:ind w:left="720"/>
      <w:contextualSpacing/>
    </w:pPr>
  </w:style>
  <w:style w:type="paragraph" w:customStyle="1" w:styleId="Default">
    <w:name w:val="Default"/>
    <w:rsid w:val="009F6559"/>
    <w:pPr>
      <w:autoSpaceDE w:val="0"/>
      <w:autoSpaceDN w:val="0"/>
      <w:adjustRightInd w:val="0"/>
    </w:pPr>
    <w:rPr>
      <w:rFonts w:ascii="RotisSansSerif ExtraBold" w:hAnsi="RotisSansSerif ExtraBold" w:cs="RotisSansSerif Extra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9F6559"/>
    <w:pPr>
      <w:spacing w:line="28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9F6559"/>
    <w:pPr>
      <w:spacing w:line="24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9F6559"/>
    <w:pPr>
      <w:spacing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9F6559"/>
    <w:pPr>
      <w:spacing w:line="241" w:lineRule="atLeast"/>
    </w:pPr>
    <w:rPr>
      <w:rFonts w:ascii="RotisSansSerif" w:hAnsi="RotisSansSerif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9F6559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9F6559"/>
    <w:pPr>
      <w:spacing w:line="24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9F6559"/>
    <w:pPr>
      <w:spacing w:line="24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BA4033"/>
    <w:pPr>
      <w:spacing w:line="201" w:lineRule="atLeast"/>
    </w:pPr>
    <w:rPr>
      <w:rFonts w:ascii="RotisSansSerif" w:hAnsi="RotisSansSerif" w:cs="Times New Roman"/>
      <w:color w:val="auto"/>
    </w:rPr>
  </w:style>
  <w:style w:type="character" w:customStyle="1" w:styleId="A5">
    <w:name w:val="A5"/>
    <w:uiPriority w:val="99"/>
    <w:rsid w:val="00BA4033"/>
    <w:rPr>
      <w:rFonts w:cs="RotisSansSerif ExtraBold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3B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073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3B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073BB"/>
    <w:rPr>
      <w:sz w:val="24"/>
      <w:szCs w:val="24"/>
    </w:rPr>
  </w:style>
  <w:style w:type="character" w:styleId="PageNumber">
    <w:name w:val="page number"/>
    <w:uiPriority w:val="99"/>
    <w:semiHidden/>
    <w:unhideWhenUsed/>
    <w:rsid w:val="00B073BB"/>
  </w:style>
  <w:style w:type="paragraph" w:styleId="ListParagraph">
    <w:name w:val="List Paragraph"/>
    <w:basedOn w:val="Normal"/>
    <w:uiPriority w:val="34"/>
    <w:qFormat/>
    <w:rsid w:val="00271FC0"/>
    <w:pPr>
      <w:ind w:left="720"/>
      <w:contextualSpacing/>
    </w:pPr>
  </w:style>
  <w:style w:type="paragraph" w:customStyle="1" w:styleId="Default">
    <w:name w:val="Default"/>
    <w:rsid w:val="009F6559"/>
    <w:pPr>
      <w:autoSpaceDE w:val="0"/>
      <w:autoSpaceDN w:val="0"/>
      <w:adjustRightInd w:val="0"/>
    </w:pPr>
    <w:rPr>
      <w:rFonts w:ascii="RotisSansSerif ExtraBold" w:hAnsi="RotisSansSerif ExtraBold" w:cs="RotisSansSerif Extra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9F6559"/>
    <w:pPr>
      <w:spacing w:line="28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9F6559"/>
    <w:pPr>
      <w:spacing w:line="24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9F6559"/>
    <w:pPr>
      <w:spacing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9F6559"/>
    <w:pPr>
      <w:spacing w:line="241" w:lineRule="atLeast"/>
    </w:pPr>
    <w:rPr>
      <w:rFonts w:ascii="RotisSansSerif" w:hAnsi="RotisSansSerif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9F6559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9F6559"/>
    <w:pPr>
      <w:spacing w:line="24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9F6559"/>
    <w:pPr>
      <w:spacing w:line="24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BA4033"/>
    <w:pPr>
      <w:spacing w:line="201" w:lineRule="atLeast"/>
    </w:pPr>
    <w:rPr>
      <w:rFonts w:ascii="RotisSansSerif" w:hAnsi="RotisSansSerif" w:cs="Times New Roman"/>
      <w:color w:val="auto"/>
    </w:rPr>
  </w:style>
  <w:style w:type="character" w:customStyle="1" w:styleId="A5">
    <w:name w:val="A5"/>
    <w:uiPriority w:val="99"/>
    <w:rsid w:val="00BA4033"/>
    <w:rPr>
      <w:rFonts w:cs="RotisSansSerif Extra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gardene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SCOE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Philip Rosoff-Horne</dc:creator>
  <cp:lastModifiedBy>Hubbard</cp:lastModifiedBy>
  <cp:revision>2</cp:revision>
  <cp:lastPrinted>2011-03-30T20:08:00Z</cp:lastPrinted>
  <dcterms:created xsi:type="dcterms:W3CDTF">2013-11-26T21:19:00Z</dcterms:created>
  <dcterms:modified xsi:type="dcterms:W3CDTF">2013-11-26T21:19:00Z</dcterms:modified>
</cp:coreProperties>
</file>